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before="0" w:lineRule="auto"/>
        <w:ind w:left="-180" w:right="-180" w:firstLine="180"/>
        <w:contextualSpacing w:val="0"/>
      </w:pPr>
      <w:r w:rsidDel="00000000" w:rsidR="00000000" w:rsidRPr="00000000">
        <w:rPr>
          <w:rFonts w:ascii="Calibri" w:cs="Calibri" w:eastAsia="Calibri" w:hAnsi="Calibri"/>
          <w:sz w:val="34"/>
          <w:szCs w:val="34"/>
          <w:rtl w:val="0"/>
        </w:rPr>
        <w:t xml:space="preserve">Introduction to Depth of Knowledge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(DOK)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120" w:before="240" w:line="276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Participants will gain an understanding of rigor as defined in the Depth of Knowledge framework and use the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Cognitive Rigor Matrix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evaluate and adjust the rigor of questions.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240" w:before="12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Introduction to Depth of Knowledge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016.0" w:type="dxa"/>
        <w:jc w:val="left"/>
        <w:tblInd w:w="-115.0" w:type="dxa"/>
        <w:tblBorders>
          <w:top w:color="000000" w:space="0" w:sz="8" w:val="single"/>
          <w:bottom w:color="000000" w:space="0" w:sz="8" w:val="single"/>
        </w:tblBorders>
        <w:tblLayout w:type="fixed"/>
        <w:tblLook w:val="04A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How do you define the term “cognitive rigor?”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0"/>
                <w:rtl w:val="0"/>
              </w:rPr>
              <w:t xml:space="preserve">Student Prompt: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Revision: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DOK Rating: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DOK Rating: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0"/>
                <w:rtl w:val="0"/>
              </w:rPr>
              <w:t xml:space="preserve">Feedback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Feedback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hd w:fill="d9d9d9" w:val="clear"/>
                <w:rtl w:val="0"/>
              </w:rPr>
              <w:t xml:space="preserve">Notes and key phrases from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hd w:fill="d9d9d9" w:val="clear"/>
                <w:rtl w:val="0"/>
              </w:rPr>
              <w:t xml:space="preserve">Depth of Knowledge chart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54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i w:val="1"/>
        <w:rtl w:val="0"/>
      </w:rPr>
      <w:t xml:space="preserve">Adapted from NYC DOK Notetaking Guide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  <w:jc w:val="center"/>
    </w:pPr>
    <w:rPr>
      <w:rFonts w:ascii="Calibri" w:cs="Calibri" w:eastAsia="Calibri" w:hAnsi="Calibri"/>
      <w:b w:val="1"/>
      <w:color w:val="1f497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shd w:fill="c0c0c0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shd w:fill="c0c0c0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>
        <w:rFonts w:ascii="Cambria" w:cs="Cambria" w:eastAsia="Cambria" w:hAnsi="Cambria"/>
      </w:rPr>
      <w:tcPr>
        <w:tcBorders>
          <w:top w:color="000000" w:space="0" w:sz="0" w:val="nil"/>
          <w:bottom w:color="000000" w:space="0" w:sz="8" w:val="single"/>
        </w:tcBorders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b w:val="1"/>
      </w:rPr>
      <w:tcPr>
        <w:tcBorders>
          <w:top w:color="000000" w:space="0" w:sz="8" w:val="single"/>
          <w:bottom w:color="000000" w:space="0" w:sz="8" w:val="single"/>
        </w:tcBorders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>
        <w:b w:val="1"/>
      </w:rPr>
      <w:tcPr>
        <w:tcBorders>
          <w:top w:color="000000" w:space="0" w:sz="8" w:val="single"/>
          <w:bottom w:color="000000" w:space="0" w:sz="8" w:val="single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